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1" w:rsidRPr="008A2811" w:rsidRDefault="008A2811" w:rsidP="00653A1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8A2811" w:rsidRDefault="008A2811" w:rsidP="00653A1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ОГБОУ ДО «УМЦ ДПО» </w:t>
      </w:r>
    </w:p>
    <w:p w:rsidR="008A2811" w:rsidRPr="008A2811" w:rsidRDefault="00653A1D" w:rsidP="00653A1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811"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r w:rsidR="008A2811"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Лазарева Н.Ф.</w:t>
      </w:r>
      <w:r w:rsidR="008A2811"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8A2811" w:rsidRPr="008A2811" w:rsidRDefault="008A2811" w:rsidP="00653A1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  _______   </w:t>
      </w:r>
      <w:smartTag w:uri="urn:schemas-microsoft-com:office:smarttags" w:element="metricconverter">
        <w:smartTagPr>
          <w:attr w:name="ProductID" w:val="2012 г"/>
        </w:smartTagPr>
        <w:r w:rsidRPr="008A281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2012 г</w:t>
        </w:r>
      </w:smartTag>
      <w:r w:rsidRP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811" w:rsidRDefault="008A2811" w:rsidP="008A281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A2811" w:rsidRDefault="008A2811" w:rsidP="008A2811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педагогическом совете 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8A2811" w:rsidRPr="00653A1D" w:rsidRDefault="008A2811" w:rsidP="00653A1D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состав Педагогического совета входят: руководитель образовательного учреждения (как правило, председатель педсовета), его заместитель, педагогические работники,  </w:t>
      </w:r>
      <w:r w:rsid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заведующие отделами, </w:t>
      </w:r>
      <w:r w:rsidR="00653A1D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лабораториями и </w:t>
      </w:r>
      <w:r w:rsidR="00653A1D" w:rsidRPr="00653A1D">
        <w:rPr>
          <w:rFonts w:ascii="Times New Roman" w:hAnsi="Times New Roman" w:cs="Times New Roman"/>
          <w:color w:val="000000"/>
          <w:sz w:val="24"/>
          <w:szCs w:val="24"/>
        </w:rPr>
        <w:t xml:space="preserve">другими структурными </w:t>
      </w:r>
      <w:r w:rsidR="00653A1D" w:rsidRPr="00653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подразделениями, </w:t>
      </w:r>
      <w:r w:rsid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методисты,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 учредителя. 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Педагогический совет действует на основании Закона Российской Федерации «Об образовании», типового положения об образовательном учреждении дополнительного образования, </w:t>
      </w:r>
      <w:r w:rsidR="00B51364" w:rsidRP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нормативно-правовыми и другими документами  управления </w:t>
      </w:r>
      <w:r w:rsid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профессионального и начального профессионального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образовательного учреждения, настоящего Положения.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B51364" w:rsidRPr="00B51364" w:rsidRDefault="00B51364" w:rsidP="00B51364">
      <w:pPr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 </w:t>
      </w:r>
      <w:r w:rsidRP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является выборным органом самоуправления образовательного учреждения, объединяющим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 других его работников.</w:t>
      </w:r>
    </w:p>
    <w:p w:rsidR="008A2811" w:rsidRDefault="00B51364" w:rsidP="00B51364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P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создается в целях управления организацией образовательного процесса, развития содержания образования, реализации образовательных программ, повышения качества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содействия повышению квалификации его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1364" w:rsidRDefault="00B51364" w:rsidP="00B51364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и содержание работы Педагогического совета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2.1. Задачами Педагогического совета являются: 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реализация государственной политики по вопросам образования;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деятельности педагогического коллектива учреждения на совершенствование образовательного процесса;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содержания работы по выполнению государственного задания;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вопросов о приеме и выпуске обучающихся,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освоивших образовательные программы, соответствующие лицензии данного учреждения.</w:t>
      </w:r>
    </w:p>
    <w:p w:rsidR="00E053BB" w:rsidRPr="00E053BB" w:rsidRDefault="008A2811" w:rsidP="00E053BB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Педагогический совет осуществляет следующие функции:</w:t>
      </w:r>
    </w:p>
    <w:p w:rsidR="008A2811" w:rsidRDefault="000D3F81" w:rsidP="00E053BB">
      <w:pPr>
        <w:spacing w:after="0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обсуждает и утверждает планы работы образовательного учреждения;</w:t>
      </w:r>
    </w:p>
    <w:p w:rsidR="00E053BB" w:rsidRPr="00E053BB" w:rsidRDefault="00E053BB" w:rsidP="00E053BB">
      <w:pPr>
        <w:tabs>
          <w:tab w:val="left" w:pos="108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</w:t>
      </w:r>
      <w:r w:rsidRPr="00E053B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варианты содержания образования, формы и методы организации образовательного процесса, способы их реализации;</w:t>
      </w:r>
    </w:p>
    <w:p w:rsidR="00E053BB" w:rsidRPr="00E053BB" w:rsidRDefault="00E053BB" w:rsidP="00E053BB">
      <w:pPr>
        <w:tabs>
          <w:tab w:val="left" w:pos="108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</w:t>
      </w:r>
      <w:r w:rsidRPr="00E053B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повышению квалификации педагогических работников Учреждения,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азвитию их творческих инициатив;</w:t>
      </w:r>
    </w:p>
    <w:p w:rsidR="008A2811" w:rsidRDefault="000D3F81" w:rsidP="00E053BB">
      <w:pPr>
        <w:spacing w:after="0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5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допуске обучающихся к итоговой аттестации на основании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повышении квалификации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выдаче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ующих документов об образовании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решения об исключении </w:t>
      </w:r>
      <w:proofErr w:type="gramStart"/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иные меры педагогического и дисциплинарного воздействия исчерпаны, в порядке, определенном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и ответственность Педагогического совета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Педагогический совет имеет право: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8A2811" w:rsidRDefault="000D3F81" w:rsidP="000D3F8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принимать, утверждать положения (локальные акты) с компетенцией, относяще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к объединениям по профессии.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Педагогический совет ответственен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плана работы;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принятых решений законодательству Российской Федерации об образовании;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8A2811" w:rsidRDefault="000D3F8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8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Педагогического совета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</w:t>
      </w:r>
      <w:r w:rsidR="000D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оговорен специальным положением).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653A1D" w:rsidRDefault="00653A1D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Документация Педагогического совета</w:t>
      </w:r>
    </w:p>
    <w:p w:rsidR="008A2811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Протоколы о</w:t>
      </w:r>
      <w:r w:rsidR="00B5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выпуске оформляются списочным составом и утверждаются приказом образовательного учреждения.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Нумерация протоколов ведется от начала учебного года.</w:t>
      </w:r>
    </w:p>
    <w:p w:rsidR="008A2811" w:rsidRPr="00B51364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8A2811" w:rsidRDefault="008A2811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5.5. Книга протоколов Педагогического совета пронумеровывается постранично, прошнуровывается, скрепляется подписью руководителя и печа</w:t>
      </w:r>
      <w:r w:rsidR="00B51364" w:rsidRPr="00B5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тью образовательного учреждения</w:t>
      </w:r>
      <w:r w:rsidRPr="00B5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53A1D" w:rsidRPr="00653A1D" w:rsidRDefault="00653A1D" w:rsidP="008A2811">
      <w:pPr>
        <w:spacing w:after="0" w:line="312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1D">
        <w:rPr>
          <w:rFonts w:ascii="Times New Roman" w:eastAsia="Times New Roman" w:hAnsi="Times New Roman" w:cs="Times New Roman"/>
          <w:color w:val="000000"/>
          <w:sz w:val="24"/>
          <w:szCs w:val="24"/>
        </w:rPr>
        <w:t>5.6. Положение о педагогическом совете утверждается директором образовательного учреждения.</w:t>
      </w:r>
    </w:p>
    <w:p w:rsidR="008A2811" w:rsidRPr="00653A1D" w:rsidRDefault="008A2811" w:rsidP="008A281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811" w:rsidRDefault="008A2811" w:rsidP="008A2811">
      <w:pPr>
        <w:spacing w:after="0" w:line="312" w:lineRule="auto"/>
        <w:jc w:val="center"/>
        <w:rPr>
          <w:rFonts w:ascii="Arial" w:eastAsia="Times New Roman" w:hAnsi="Arial" w:cs="Arial"/>
          <w:color w:val="000000"/>
        </w:rPr>
      </w:pPr>
    </w:p>
    <w:p w:rsidR="008A2811" w:rsidRDefault="008A2811" w:rsidP="00B51364">
      <w:pPr>
        <w:spacing w:after="0" w:line="264" w:lineRule="auto"/>
      </w:pPr>
    </w:p>
    <w:p w:rsidR="008A2811" w:rsidRDefault="008A2811" w:rsidP="008A2811"/>
    <w:p w:rsidR="004658C9" w:rsidRDefault="004658C9" w:rsidP="004658C9">
      <w:pPr>
        <w:tabs>
          <w:tab w:val="num" w:pos="-284"/>
          <w:tab w:val="left" w:pos="1080"/>
          <w:tab w:val="left" w:pos="1440"/>
        </w:tabs>
        <w:ind w:firstLine="540"/>
        <w:jc w:val="both"/>
      </w:pPr>
      <w:r>
        <w:t>Педагогический Совет:</w:t>
      </w:r>
    </w:p>
    <w:p w:rsidR="004658C9" w:rsidRDefault="004658C9" w:rsidP="004658C9">
      <w:pPr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ind w:left="0" w:firstLine="540"/>
        <w:jc w:val="both"/>
      </w:pPr>
      <w:r>
        <w:t>выбирает варианты содержания образования, формы и методы организации образовательного процесса, способы их реализации;</w:t>
      </w:r>
    </w:p>
    <w:p w:rsidR="004658C9" w:rsidRDefault="004658C9" w:rsidP="004658C9">
      <w:pPr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ind w:left="0" w:firstLine="540"/>
        <w:jc w:val="both"/>
      </w:pPr>
      <w:r>
        <w:t>организует работу по повышению квалификации педагогических работников Учреждения, развитию их творческих инициатив.</w:t>
      </w:r>
    </w:p>
    <w:p w:rsidR="004658C9" w:rsidRDefault="004658C9" w:rsidP="004658C9">
      <w:pPr>
        <w:numPr>
          <w:ilvl w:val="1"/>
          <w:numId w:val="2"/>
        </w:numPr>
        <w:tabs>
          <w:tab w:val="left" w:pos="1080"/>
          <w:tab w:val="left" w:pos="1320"/>
          <w:tab w:val="left" w:pos="1440"/>
        </w:tabs>
        <w:spacing w:after="0" w:line="240" w:lineRule="auto"/>
        <w:ind w:firstLine="540"/>
        <w:jc w:val="both"/>
        <w:rPr>
          <w:snapToGrid w:val="0"/>
        </w:rPr>
      </w:pPr>
      <w:r>
        <w:t xml:space="preserve">Попечительский Совет </w:t>
      </w:r>
      <w:r>
        <w:rPr>
          <w:rStyle w:val="FontStyle12"/>
        </w:rPr>
        <w:t>является государственно-общественным органом управления Учреждением. Попечительский совет строит свою деятельность, основываясь на принципах равноправия его членов, коллегиальности руководства, гласности принимаемых решений, периодичности отчетности.</w:t>
      </w:r>
      <w:r>
        <w:t xml:space="preserve"> В Попечительский совет входят: директор Учреждения, заместители директора Учреждения, государственный гражданский служащий Учредителя, представители организаций – социальных партнеров Учреждения (по одному от каждой организации). </w:t>
      </w:r>
    </w:p>
    <w:p w:rsidR="004658C9" w:rsidRDefault="004658C9" w:rsidP="004658C9">
      <w:pPr>
        <w:tabs>
          <w:tab w:val="num" w:pos="-284"/>
          <w:tab w:val="left" w:pos="1080"/>
          <w:tab w:val="left" w:pos="1440"/>
        </w:tabs>
        <w:ind w:firstLine="540"/>
        <w:jc w:val="both"/>
      </w:pPr>
      <w:r>
        <w:t>Заседание Попечительского Совета считается правомочным, если на нем присутствовало не менее 50% от общего числа членов Попечительского Совета. Решение Попечительского Совета принимается простым большинством голосов от числа присутствующих. Решения Попечительского Совета  носят рекомендательный характер и оформляются протоколами.</w:t>
      </w:r>
    </w:p>
    <w:p w:rsidR="004658C9" w:rsidRDefault="004658C9" w:rsidP="004658C9">
      <w:pPr>
        <w:tabs>
          <w:tab w:val="num" w:pos="-284"/>
          <w:tab w:val="left" w:pos="1080"/>
          <w:tab w:val="left" w:pos="1440"/>
        </w:tabs>
        <w:ind w:firstLine="540"/>
        <w:jc w:val="both"/>
      </w:pPr>
      <w:r>
        <w:t>К компетенции Попечительского совета относится: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</w:pPr>
      <w:r>
        <w:t xml:space="preserve">содействие финансированию программы развития Учреждения; 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  <w:rPr>
          <w:rStyle w:val="FontStyle11"/>
        </w:rPr>
      </w:pPr>
      <w:r>
        <w:t>обеспечение конкретных подпрограмм, определенных Попечительским советом как приоритетные, взносами целевого назначения от организаций - социальных партнеров Учреждения;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</w:pPr>
      <w:r>
        <w:rPr>
          <w:rStyle w:val="FontStyle12"/>
        </w:rPr>
        <w:t>формирование предложений по изменению видов образовательных услуг;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  <w:rPr>
          <w:rStyle w:val="FontStyle12"/>
        </w:rPr>
      </w:pPr>
      <w:r>
        <w:rPr>
          <w:rStyle w:val="FontStyle12"/>
        </w:rPr>
        <w:t>содействие внедрению инноваций, проведению в установленном порядке экспертной оценки инновационных образовательных программ;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  <w:rPr>
          <w:rStyle w:val="FontStyle12"/>
        </w:rPr>
      </w:pPr>
      <w:r>
        <w:rPr>
          <w:rStyle w:val="FontStyle12"/>
        </w:rPr>
        <w:t>содействие финансированию программ повышения квалификации руководящих и педагогических работников Учреждения;</w:t>
      </w:r>
    </w:p>
    <w:p w:rsidR="004658C9" w:rsidRDefault="004658C9" w:rsidP="004658C9">
      <w:pPr>
        <w:numPr>
          <w:ilvl w:val="0"/>
          <w:numId w:val="3"/>
        </w:numPr>
        <w:tabs>
          <w:tab w:val="clear" w:pos="1320"/>
          <w:tab w:val="left" w:pos="1080"/>
          <w:tab w:val="left" w:pos="1440"/>
        </w:tabs>
        <w:spacing w:after="0" w:line="240" w:lineRule="auto"/>
        <w:ind w:left="0" w:firstLine="540"/>
        <w:jc w:val="both"/>
        <w:rPr>
          <w:rStyle w:val="FontStyle11"/>
        </w:rPr>
      </w:pPr>
      <w:r>
        <w:rPr>
          <w:rStyle w:val="FontStyle12"/>
        </w:rPr>
        <w:t>содействие финансированию ремонта помещений, обеспечению необходимыми условиями (в том числе материалами, оборудованием) осуществления образовательного процесса.</w:t>
      </w:r>
    </w:p>
    <w:p w:rsidR="004658C9" w:rsidRDefault="004658C9" w:rsidP="004658C9"/>
    <w:p w:rsidR="00CD3631" w:rsidRDefault="00CD3631"/>
    <w:sectPr w:rsidR="00CD3631" w:rsidSect="00C2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5441"/>
    <w:multiLevelType w:val="multilevel"/>
    <w:tmpl w:val="1A8E0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A79D7"/>
    <w:multiLevelType w:val="hybridMultilevel"/>
    <w:tmpl w:val="46D4C976"/>
    <w:lvl w:ilvl="0" w:tplc="6666E0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447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A4E5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9076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F081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EA9D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FEC2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BC51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44F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E3B36DA"/>
    <w:multiLevelType w:val="hybridMultilevel"/>
    <w:tmpl w:val="354296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11"/>
    <w:rsid w:val="000D3F81"/>
    <w:rsid w:val="004658C9"/>
    <w:rsid w:val="00653A1D"/>
    <w:rsid w:val="00823A9C"/>
    <w:rsid w:val="008A2811"/>
    <w:rsid w:val="00A07EE2"/>
    <w:rsid w:val="00B51364"/>
    <w:rsid w:val="00BE61AE"/>
    <w:rsid w:val="00C24911"/>
    <w:rsid w:val="00CD3631"/>
    <w:rsid w:val="00E0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811"/>
    <w:rPr>
      <w:color w:val="0000FF"/>
      <w:u w:val="single"/>
    </w:rPr>
  </w:style>
  <w:style w:type="paragraph" w:styleId="HTML">
    <w:name w:val="HTML Preformatted"/>
    <w:basedOn w:val="a"/>
    <w:link w:val="HTML0"/>
    <w:rsid w:val="00B51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1364"/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basedOn w:val="a0"/>
    <w:rsid w:val="004658C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4658C9"/>
    <w:rPr>
      <w:rFonts w:ascii="Times New Roman" w:hAnsi="Times New Roman" w:cs="Times New Roman" w:hint="default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811"/>
    <w:rPr>
      <w:color w:val="0000FF"/>
      <w:u w:val="single"/>
    </w:rPr>
  </w:style>
  <w:style w:type="paragraph" w:styleId="HTML">
    <w:name w:val="HTML Preformatted"/>
    <w:basedOn w:val="a"/>
    <w:link w:val="HTML0"/>
    <w:rsid w:val="00B51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1364"/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basedOn w:val="a0"/>
    <w:rsid w:val="004658C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4658C9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Лена</cp:lastModifiedBy>
  <cp:revision>2</cp:revision>
  <cp:lastPrinted>2012-12-28T03:30:00Z</cp:lastPrinted>
  <dcterms:created xsi:type="dcterms:W3CDTF">2013-05-17T01:35:00Z</dcterms:created>
  <dcterms:modified xsi:type="dcterms:W3CDTF">2013-05-17T01:35:00Z</dcterms:modified>
</cp:coreProperties>
</file>